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142</w:t>
      </w:r>
    </w:p>
    <w:p>
      <w:r>
        <w:t>Bundesgericht (BGE), 1990-04-03, DE</w:t>
      </w:r>
    </w:p>
    <w:p>
      <w:r>
        <w:rPr>
          <w:b/>
        </w:rPr>
        <w:t xml:space="preserve">Quelle: </w:t>
      </w:r>
      <w:r>
        <w:t>https://mcp.opencaselaw.ch/entscheid/bge_116 II 142</w:t>
      </w:r>
    </w:p>
    <w:p>
      <w:r>
        <w:t>FR: ATF 116 II 142</w:t>
      </w:r>
    </w:p>
    <w:p>
      <w:r>
        <w:t>IT: DTF 116 II 142</w:t>
      </w:r>
    </w:p>
    <w:p>
      <w:pPr>
        <w:pStyle w:val="Heading2"/>
      </w:pPr>
      <w:r>
        <w:t>Regeste</w:t>
      </w:r>
    </w:p>
    <w:p>
      <w:r>
        <w:t>Regeste Annahmeverzug des Arbeitgebers (Art. 324 OR). Fristlose Auflösung des Arbeitsverhältnisses durch den Arbeitnehmer (Art. 337b OR). Mit der Kündigung des Arbeitsverhältnisses durch den Arbeitnehmer endigt auch der Annahmeverzug im Sinne von Art. 324 Abs. 1 OR und damit die Lohnfortzahlungspflicht des Arbeitgebers. Der Annahmeverzug genügt als solcher nicht, damit der Arbeitnehmer wegen wichtigen Grundes den Arbeitsvertrag mit sofortiger Wirkung gemäss Art. 337b Abs. 1 OR kündigen könnte.</w:t>
      </w:r>
    </w:p>
    <w:p>
      <w:pPr>
        <w:pStyle w:val="Heading2"/>
      </w:pPr>
      <w:r>
        <w:t>Erwägungen</w:t>
      </w:r>
    </w:p>
    <w:p>
      <w:r>
        <w:rPr>
          <w:b/>
        </w:rPr>
        <w:t>E. 5</w:t>
      </w:r>
    </w:p>
    <w:p>
      <w:r>
        <w:t>a) Das Obergericht erachtet die fristlose Auflösung des Arbeitsverhältnisses gemäss klägerischem Schreiben vom 17. November 1986 als gerechtfertigt und spricht dem Kläger für die Zeit ab 1. Dezember gestützt auf Art. 337b Abs. 1 OR Schadenersatz zu. Die Beklagte rügt, die Vorinstanz habe mit dieser Auffassung insbesondere deshalb Bundesrecht verletzt, weil der Annahmeverzug des Arbeitgebers nach Art. 324 Abs. 1 OR nicht als wichtiger Grund im Sinne von Art. 337b Abs. 1 OR betrachtet werden könne und keine weiteren Umstände für eine fristlose Auflösung des Arbeitsverhältnisses vorgelegen hätten. b)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Der in Art. 324 OR geregelte Annahmeverzug ist ein besonderer Fall des Gläubigerverzuges nach Art. 95 OR .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(REHBINDER, N. 22 zu Art. 324 OR ; STAEHELIN, N. 26 zu Art. 324 OR ; von TUHR/ESCHER, Bd. II, S. 84 Fn 68 mit Hinweis auf MIESCHER, Die Folgen nicht vertragsgemässer Arbeitsleistung nach dem Dienstvertragsrecht und nach den allgemeinen Bestimmungen des OR, Diss. Bern 1968, S. 13 ff.; SCHNÜRIGER, Annahmeverzug und Betriebsrisiko, Diss. ZH 1981, S. 74 f.). BGE 116 II 142 S. 144 Zwar waren vor der Kündigung per 1. Dezember 1986 die Voraussetzungen des Annahmeverzuges gegeben. Mit der Kündigung liess der Kläger dann aber sein ursprüngliches Arbeitsangebot fallen und brachte unmissverständlich zum Ausdruck, dass er ab 1. Dezember 1986 nicht mehr zur Verfügung der Beklagten stehen werde. Mit der Kündigung des Arbeitsverhältnisses endigt auch der Annahmeverzug im Sinne von Art. 324 Abs. 1 OR und damit die Lohnfortzahlungspflicht des Arbeitgebers (Botschaft des Bundesrates vom 25. August 1967, BBl 1967 II 331; REHBINDER, N. 23 zu Art. 324 OR ; STAEHELIN, N. 27 zu Art. 324 OR ; SCHNÜRIGER, a.a.O., S. 60 f.). Für die Zeit nach dem 1. Dezember 1986 stehen dem Kläger deshalb keine Lohnansprüche mehr zu. c) Damit bleibt zu prüfen, ob der Kläger berechtigt war, das Arbeitsverhältnis fristlos aufzulösen und nach Art. 337b Abs. 1 OR Schadenersatz ab 1. Dezember 1986 zu fordern. Liegt nach dieser Bestimmung der wichtige Grund zur fristlosen Auflösung des Arbeitsverhältnisses im vertragswidrigen Verhalten einer Vertragspartei, so hat diese vollen Schadenersatz zu leisten, unter Berücksichtigung aller aus dem Arbeitsverhältnis entstehenden Forderungen ( Art. 337b Abs. 1 OR ). Als wichtiger Grund gilt namentlich jeder Umstand, bei dessen Vorhandensein dem Kündigenden nach Treu und Glauben die Fortsetzung des Arbeitsverhältnisses nicht mehr zugemutet werden darf; hierüber entscheidet der Richter nach seinem Ermessen ( Art. 337 Abs. 2 und 3 OR ). Als unzumutbar gilt die Fortsetzung des Arbeitsverhältnisses nur dann, wenn das Vertrauensverhältnis zwischen den Parteien derart gestört ist, dass die sofortige und fristlose Auflösung des Arbeitsverhältnisses als einziger Ausweg erscheint (BRÜHWILER, Die fristlose Auflösung des Arbeitsverhältnisses, SJZ 81/1985, S. 71; RAPP, Die fristlose Kündigung des Arbeitsvertrages, BJM 1978, S. 172). Dieser Grundsatz muss auch dann gelten, wenn der Arbeitnehmer keine Arbeitsleistung erbringen kann, weil sich der Arbeitgeber in Annahmeverzug befindet. Indessen genügt der Annahmeverzug als solcher nicht, damit der Arbeitnehmer wegen wichtigen Grundes den Arbeitsvertrag mit sofortiger Wirkung kündigen könnte (REHBINDER, N. 22 zu Art. 324 mit weiteren Belegstellen; STAEHELIN, N. 26 zu Art. 324 OR ). Es bedarf zusätzlicher Umstände, damit die Fortsetzung des Arbeitsverhältnisses dem Kündigenden nicht mehr zuzumuten ist. Dies wird im angefochtenen Urteil offensichtlich verkannt, was die Beklagte zu Recht als Bundesrechtsverletzung rügt. Die Vorinstanz nennt ausser dem Annahmeverzug BGE 116 II 142 S. 145 keinen weiteren Umstand, der den Kläger berechtigt hätte, den für die Wintersaison abgeschlossenen Arbeitsvertrag fristlos aufzulösen. Ein solcher ist auch aus den Akten nicht ersichtlich. Damit war die vorzeitige Kündigung des Klägers auf den 1. Dezember 1986 ungerechtfertigt, weshalb ihm keine Schadenersatzansprüche aus Art. 337b OR 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